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Критерії оцінювання навчальних досягнень з курсу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«ГРОМАДЯНСЬКА ОСВІТА»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60"/>
        <w:gridCol w:w="960"/>
        <w:gridCol w:w="7709"/>
        <w:tblGridChange w:id="0">
          <w:tblGrid>
            <w:gridCol w:w="960"/>
            <w:gridCol w:w="960"/>
            <w:gridCol w:w="770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Рівень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Бал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Критерії навчальних досягнень учнів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Початковий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розрізняє об'єкти вивчення. Учень (учениця) на рівні «так- ні» усно відтворює кілька термінів, вибирає правильний варіант відповіді із двох запропонованих.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відтворює незначну частину навчального матеріалу, має нечіткі уявлення про об'єкт вивчення. Одним простим реченням передає зміст частини теми, знаходить відповідь на закрите запитання в тексті підручника.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відтворює частину навчального матеріалу; з допомогою вчителя дає елементарні відповіді.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Середній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з допомогою вчителя репродуктивно відтворює частину навчального матеріалу теми одним-двома простими реченнями, формулює визначення соціального (економічного, політичного) поняття.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відтворює основний навчальний матеріал, здатний з помилками й неточностями дати визначення понять, сформулювати суть соціального (економічного, політичного) поняття.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виявляє знання й розуміння основних положень навчального матеріалу. Відповідь правильна, але недостатньо осмислена. Вміє застосовувати знання при виконанні завдань за зразком. Учень (учениця) у цілому відтворює частину навчального матеріалу теми, у цілому правильно використовує окремі терміни, аналізує прості життєві ситуації, розв'язує тестові завдання першого рівня; може користуватися за допомогою вчителя (зразок, пам'ятка) окремими положеннями нормативних актів.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Достатній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правильно відтворює навчальний матеріал, знає основоположні теорії і факти, вміє наводити окремі власні приклади на підтвердження певних думок.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застосовує вивчений матеріал у стандартних ситуаціях, намагається аналізувати, встановлювати найсуттєвіші зв'язки і залежність між соціальними (політичними, економічними) явищами, фактами, робити висновки, загалом контролює власну діяльність. Відповідь логічна, хоча і має неточності.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добре володіє вивченим матеріалом, застосовує знання у ході дискусії (діалогу), уміє аналізувати й систематизувати інформацію, використовує загальновідомі докази із самостійною і правильною аргументацією. Активно слухає та спостерігає та не завжди проявляє активність при вирішенні проблемних ситуацій.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Високий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має повні, глибокі знання за вивченою темою, здатний(а) використовувати їх у практичній діяльності, робити висновки, узагальнення. Висновок лише частково відповідає тезі або лише частково пов’язаний з аргументами та прикладами. Аналізує власний поступ, приймає рішення щодо вдосконалення власних навичок. Активно слухає та спостерігає, бере відповідальність на себе, проявляє громадянську свідомість.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має гнучкі знання в межах вимог навчальних програм, аргументовано використовує їх у різних ситуаціях, уміє знаходити інформацію та аналізувати її, ставити і розв'язувати проблеми; вміє організовувати та проводити дослідження; приймати рішення щодо вдосконалення власних навичок, спонукає до управління процесом їхнього навчання і становлення як активних громадян демократичного суспільства. Вміє аналітично мислити, критично розуміти світ: політику, право, права людини, культуру, релігію, історію, мас-медіа, економіку, підприємництво, сталий розвиток, міжнародне право тощо.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Учень (учениця) має системні, міцні знання в обсязі та в межах вимог навчальної програми,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інформації, приймати рішення. Виявляє ґрунтовні знання, висловлює власну позицію й переконливо її аргументує; самостійно знаходить, оцінює та використовує джерела інформації, зокрема наочні, уміє узагальнити вивчений матеріал, використовує набуті знання й уміння у практичній діяльності (участь у дискусіях, засіданнях «круглих столів» тощо); може самостійно вирішувати практичні задачі; вміє організовувати та проводити дослідження, узагальнює їх, робить висновки і пропозиції; організовує кампанію з адвокації. Обирає дієві життєві стратегії; генерує нові ідеї, оцінює переваги і ризики.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06655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06655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06655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06655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06655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06655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06655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066555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066555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066555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066555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066555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0665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06655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06655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066555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066555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066555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06655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066555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066555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oYTfjTTGs5I+bs8+m2ej1VKA/w==">CgMxLjA4AHIhMU0tZnFPSVRjYk5CR0RiM0dWUldzWTRsV1ZEcVprcjVn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2025-10-16T15:20:00Z</dcterms:created>
  <dc:creator>Mykhailo Khoziashev</dc:creator>
</cp:coreProperties>
</file>